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embeddings/Microsoft_Excel_Worksheet.xlsx" ContentType="application/vnd.openxmlformats-officedocument.spreadsheetml.sheet"/>
  <Override PartName="/word/embeddings/Microsoft_Excel_Worksheet1.xlsx" ContentType="application/vnd.openxmlformats-officedocument.spreadsheetml.sheet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left="-426"/>
        <w:jc w:val="center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за нарушения требований законодательства Российской Федерации 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финансово-бюджетной сфере и требований законодательства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Главным контрольным управлением Кузбасса 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за 2024 год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2024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году было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возбуждено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471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дело об административных правонарушениях, в том числе сотрудниками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отдела правовой и кадровой             работы –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298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прокурорами городов и районов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116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этом в отношении государственных заказчиков было возбуждено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дел, муниципальных заказчиков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267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дел, иные субъекты нарушений – 3 дела. </w:t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211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дела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 финансового контроля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72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дела,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из них: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20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дел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Новокузнецкий городской округ –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18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дел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Юргинский городской округ –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11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дел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9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дел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Новокузнецкий муниципальный округ – 5 дел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Тайгинский городской округ – 2 дела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Прокопьевский городской округ – 2 дела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Яшкинский муниципальный округ – 2 дела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Ленинск-Кузнецкий городской округ – 2 дела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hanging="0" w:left="284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Междуреченский городской округ – 1 дело</w:t>
      </w:r>
    </w:p>
    <w:p>
      <w:pPr>
        <w:pStyle w:val="ListParagraph"/>
        <w:shd w:val="clear" w:color="auto" w:fill="FFFFFF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ListParagraph"/>
        <w:shd w:val="clear" w:color="auto" w:fill="FFFFFF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left="-142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221605" cy="3320415"/>
            <wp:effectExtent l="0" t="0" r="0" b="0"/>
            <wp:docPr id="1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ListParagraph"/>
        <w:shd w:val="clear" w:color="auto" w:fill="FFFFFF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Информация, предоставленная органами гос. власти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53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дел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>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- Министерство здравоохранения Кузбасса – 32 дела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Министерство образования Кузбасса – 6 дел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Министерство социальной защиты Кузбасса – 4 дела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Министерство физической культуры и спорта Кузбасса – 3 дела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- Министерство труда и занятости населения Кузбасса – 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дела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Контрольно – счетная палата Кемеровской области – Кузбасса – 3 дела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УФК по Кемеровской области – Кузбассу – 2 дела</w:t>
      </w:r>
    </w:p>
    <w:p>
      <w:pPr>
        <w:pStyle w:val="ListParagraph"/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19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дел.</w:t>
      </w:r>
    </w:p>
    <w:p>
      <w:pPr>
        <w:pStyle w:val="ListParagraph"/>
        <w:shd w:val="clear" w:color="auto" w:fill="FFFFFF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 w:left="-42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476875" cy="2292985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Управлением в 2024 году вынесено 9 определений об отказе в возбуждении дел об административных правонарушениях по причине истечения срока давности привлечения к административной ответственности, отсутствия события административного правонарушения.</w:t>
      </w:r>
    </w:p>
    <w:p>
      <w:pPr>
        <w:pStyle w:val="ListParagraph"/>
        <w:shd w:val="clear" w:color="auto" w:fill="FFFFFF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Cs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bCs/>
          <w:sz w:val="12"/>
          <w:szCs w:val="1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Структура возбужденных дел об административных правонарушениях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2024 году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center"/>
        <w:rPr>
          <w:rFonts w:ascii="Times New Roman" w:hAnsi="Times New Roman" w:eastAsia="Times New Roman" w:cs="Times New Roman"/>
          <w:b/>
          <w:color w:val="000000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12"/>
          <w:szCs w:val="12"/>
          <w:lang w:eastAsia="ru-RU"/>
        </w:rPr>
      </w:r>
    </w:p>
    <w:tbl>
      <w:tblPr>
        <w:tblW w:w="9356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"/>
        <w:gridCol w:w="2297"/>
        <w:gridCol w:w="1988"/>
        <w:gridCol w:w="907"/>
        <w:gridCol w:w="1740"/>
        <w:gridCol w:w="1888"/>
      </w:tblGrid>
      <w:tr>
        <w:trPr>
          <w:tblHeader w:val="true"/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Кол-во возб. дел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Кол-во возб. дел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ч.1.4. ст. 7.30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ч.9. ст. 7.32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7.32.5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15.15.5-1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ч.2. ст. 7.31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 15.15.15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ч.1. ст.7.29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ч.2.1 ст.7.29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ч.3 ст. 15.15.3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ч.5. ст. 7.32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 15.14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20.25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ч.3 ст. 7.30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 19.6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ч.4. ст. 7.29.3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 ст. 7.29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ч.11 ст. 7.30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 15.15.10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ч.4. ст. 7.32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ч.4. ст. 7.30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ч.20 ст. 19.5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19.7.2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ч.10 ст.7.32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ч.14. ст. 7.30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ч.2. ст. 15.15.5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ч.3. ст. 7.32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4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15.15.5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ч.4.1 ст. 7.30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ч.4 ст. 15.15.6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ч.7. ст. 19.5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ч.3 ст. 15.15.6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 19.7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 ст.15.15.6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15.15.4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ст.7.32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 6 ст. 7.32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09" w:left="-425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 w:left="-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Как следует из представленных данных, наиболее часто </w:t>
      </w:r>
      <w:bookmarkStart w:id="0" w:name="_Hlk69120343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выявляемыми правонарушениями являются: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-425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 xml:space="preserve">ч.1.4 ст. 7.30 (92 дела) – размещение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 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-425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ч.1. ст. 7.32.5 (84 дела) – </w:t>
      </w:r>
      <w:r>
        <w:rPr>
          <w:rFonts w:cs="Times New Roman" w:ascii="Times New Roman" w:hAnsi="Times New Roman"/>
          <w:bCs/>
          <w:sz w:val="28"/>
          <w:szCs w:val="28"/>
        </w:rPr>
        <w:t>нарушение срока и порядка оплаты товаров (работ, услуг) при осуществлении закупок.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firstLine="709" w:left="-425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ч.2. ст. 7.31 (80 дел) – ненаправление (</w:t>
      </w:r>
      <w:r>
        <w:rPr>
          <w:rFonts w:ascii="Times New Roman" w:hAnsi="Times New Roman"/>
          <w:spacing w:val="-1"/>
          <w:sz w:val="28"/>
          <w:szCs w:val="28"/>
        </w:rPr>
        <w:t>непредставление) в установленный законом срок сведений о заключении, изменении, исполнении (расторжении) контракта.</w:t>
      </w:r>
    </w:p>
    <w:p>
      <w:pPr>
        <w:pStyle w:val="Normal"/>
        <w:shd w:val="clear" w:color="auto" w:fill="FFFFFF"/>
        <w:spacing w:lineRule="auto" w:line="240" w:before="0" w:after="0"/>
        <w:ind w:firstLine="709" w:left="-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2024 году по результатам рассмотрения дел об административных правонарушениях было вынесено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312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постановлений о назначении административного наказания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из них:</w:t>
      </w:r>
    </w:p>
    <w:p>
      <w:pPr>
        <w:pStyle w:val="Normal"/>
        <w:shd w:val="clear" w:color="auto" w:fill="FFFFFF"/>
        <w:spacing w:lineRule="auto" w:line="240" w:before="0" w:after="0"/>
        <w:ind w:firstLine="709" w:left="-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постановлений о назначении административного наказания в виде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предупреждения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firstLine="709" w:left="-425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67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постановлений о назначении административного наказания в виде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административного штрафа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на общую сумму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1 935 000 руб. </w:t>
      </w:r>
    </w:p>
    <w:p>
      <w:pPr>
        <w:pStyle w:val="Normal"/>
        <w:shd w:val="clear" w:color="auto" w:fill="FFFFFF"/>
        <w:spacing w:lineRule="auto" w:line="240" w:before="0" w:after="0"/>
        <w:ind w:firstLine="709" w:left="-425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Структура статей КоАП, по которым в 2024 году вынесены постановления о назначении административного наказания в виде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административного штрафа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360" w:before="0" w:after="0"/>
        <w:ind w:firstLine="710" w:left="-426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7059" w:type="dxa"/>
        <w:jc w:val="left"/>
        <w:tblInd w:w="1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9"/>
        <w:gridCol w:w="2981"/>
        <w:gridCol w:w="3399"/>
      </w:tblGrid>
      <w:tr>
        <w:trPr>
          <w:tblHeader w:val="true"/>
          <w:trHeight w:val="26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Кол-во постановлений о назначении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штрафа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ч.1.4 ст. 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ст.7.32.5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hd w:fill="auto" w:val="clear"/>
              </w:rPr>
              <w:t>11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 7.29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 15.14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</w:rPr>
              <w:t>ч.3 ст.15.15.3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ч.20 ст. 19.5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ч.10 ст. 7.32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ч.2 ст. 7.31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ч.9 ст.7.32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ст.15.15.5-1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ч.1 ст.15.15.5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ч.4 ст.15.15.6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 11 ст. 7.30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ч. 2 ст. 15.15.5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</w:tr>
    </w:tbl>
    <w:p>
      <w:pPr>
        <w:pStyle w:val="Normal"/>
        <w:spacing w:lineRule="auto" w:line="360" w:before="0" w:after="0"/>
        <w:ind w:firstLine="710" w:left="-426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виде административного штрафа были вынесены по следующим составам правонарушений: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ч.1.4 ст. 7.30 (16 постановлений) – размещение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ч.1. ст. 7.32.5 (11 </w:t>
      </w:r>
      <w:r>
        <w:rPr>
          <w:rFonts w:ascii="Times New Roman" w:hAnsi="Times New Roman"/>
          <w:spacing w:val="-1"/>
          <w:sz w:val="28"/>
          <w:szCs w:val="28"/>
        </w:rPr>
        <w:t>постановлений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) – </w:t>
      </w:r>
      <w:r>
        <w:rPr>
          <w:rFonts w:cs="Times New Roman" w:ascii="Times New Roman" w:hAnsi="Times New Roman"/>
          <w:bCs/>
          <w:sz w:val="28"/>
          <w:szCs w:val="28"/>
        </w:rPr>
        <w:t>нарушение срока и порядка оплаты товаров (работ, услуг) при осуществлении закупок.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firstLine="710" w:left="-426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ч.1 ст.7.29 (9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) – принятие решения о </w:t>
      </w:r>
      <w:r>
        <w:rPr>
          <w:rFonts w:cs="Times New Roman" w:ascii="Times New Roman" w:hAnsi="Times New Roman"/>
          <w:sz w:val="28"/>
          <w:szCs w:val="28"/>
        </w:rPr>
        <w:t>способе определения поставщика с нарушением требований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делу об административных правонарушениях (с учетом рассмотрения ранее возбужденных дел об административных правонарушениях) вынесены постановления о прекращении производства (в связи с истечением срока давности, отсутствием события и состава административного правонарушения, действием лица в состоянии крайней необходимости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ind w:firstLine="710" w:left="-426"/>
        <w:jc w:val="both"/>
        <w:rPr/>
      </w:pPr>
      <w:r>
        <w:rPr>
          <w:rFonts w:eastAsia="Times New Roman"/>
          <w:lang w:eastAsia="ru-RU"/>
        </w:rPr>
        <w:t xml:space="preserve">По </w:t>
      </w:r>
      <w:r>
        <w:rPr>
          <w:rFonts w:eastAsia="Times New Roman"/>
          <w:b/>
          <w:bCs/>
          <w:lang w:eastAsia="ru-RU"/>
        </w:rPr>
        <w:t>80</w:t>
      </w:r>
      <w:r>
        <w:rPr>
          <w:rFonts w:eastAsia="Times New Roman"/>
          <w:lang w:eastAsia="ru-RU"/>
        </w:rPr>
        <w:t xml:space="preserve"> делам об административных правонарушениях вынесено устное замечание в связи с малозначительностью совершенного правонарушения.</w:t>
      </w:r>
      <w:r>
        <w:rPr>
          <w:rFonts w:eastAsia="Times New Roman"/>
          <w:color w:val="000000"/>
          <w:lang w:eastAsia="ru-RU"/>
        </w:rPr>
        <w:t xml:space="preserve"> Критерии малозначительности установлены в Постановлении Пленума                               Верховного Суда РФ от 24.03.2005 № 5 – «М</w:t>
      </w:r>
      <w:r>
        <w:rPr/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426"/>
        <w:jc w:val="both"/>
        <w:rPr>
          <w:color w:val="000000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10" w:left="-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Начальник отдела</w:t>
      </w:r>
    </w:p>
    <w:p>
      <w:pPr>
        <w:pStyle w:val="Normal"/>
        <w:shd w:val="clear" w:color="auto" w:fill="FFFFFF"/>
        <w:spacing w:lineRule="auto" w:line="240" w:before="0" w:after="0"/>
        <w:ind w:left="-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правовой и кадровой работы </w:t>
        <w:tab/>
        <w:tab/>
        <w:tab/>
        <w:t xml:space="preserve">                                     А.А. Неробова</w:t>
      </w:r>
    </w:p>
    <w:sectPr>
      <w:footerReference w:type="default" r:id="rId4"/>
      <w:type w:val="nextPage"/>
      <w:pgSz w:w="11906" w:h="16838"/>
      <w:pgMar w:left="1701" w:right="850" w:gutter="0" w:header="0" w:top="709" w:footer="326" w:bottom="567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66556859"/>
    </w:sdt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  <w:sz w:val="18"/>
            <w:szCs w:val="18"/>
          </w:rPr>
          <w:fldChar w:fldCharType="begin"/>
        </w:r>
        <w:r>
          <w:rPr>
            <w:sz w:val="18"/>
            <w:szCs w:val="18"/>
            <w:rFonts w:cs="Times New Roman" w:ascii="Times New Roman" w:hAnsi="Times New Roman"/>
          </w:rPr>
          <w:instrText xml:space="preserve"> PAGE </w:instrText>
        </w:r>
        <w:r>
          <w:rPr>
            <w:sz w:val="18"/>
            <w:szCs w:val="18"/>
            <w:rFonts w:cs="Times New Roman" w:ascii="Times New Roman" w:hAnsi="Times New Roman"/>
          </w:rPr>
          <w:fldChar w:fldCharType="separate"/>
        </w:r>
        <w:r>
          <w:rPr>
            <w:sz w:val="18"/>
            <w:szCs w:val="18"/>
            <w:rFonts w:cs="Times New Roman" w:ascii="Times New Roman" w:hAnsi="Times New Roman"/>
          </w:rPr>
          <w:t>4</w:t>
        </w:r>
        <w:r>
          <w:rPr>
            <w:sz w:val="18"/>
            <w:szCs w:val="18"/>
            <w:rFonts w:cs="Times New Roman"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9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9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4"/>
  </w:num>
  <w:num w:numId="13">
    <w:abstractNumId w:val="6"/>
    <w:lvlOverride w:ilvl="0">
      <w:startOverride w:val="19"/>
    </w:lvlOverride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7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15fb9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51675"/>
    <w:rPr/>
  </w:style>
  <w:style w:type="character" w:styleId="Style16" w:customStyle="1">
    <w:name w:val="Нижний колонтитул Знак"/>
    <w:basedOn w:val="DefaultParagraphFont"/>
    <w:uiPriority w:val="99"/>
    <w:qFormat/>
    <w:rsid w:val="00d51675"/>
    <w:rPr/>
  </w:style>
  <w:style w:type="character" w:styleId="Hyperlink">
    <w:name w:val="Hyperlink"/>
    <w:basedOn w:val="DefaultParagraphFont"/>
    <w:uiPriority w:val="99"/>
    <w:unhideWhenUsed/>
    <w:rsid w:val="0045099c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5099c"/>
    <w:rPr>
      <w:color w:val="605E5C"/>
      <w:shd w:fill="E1DFDD" w:val="clear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86f9c"/>
    <w:rPr>
      <w:sz w:val="20"/>
      <w:szCs w:val="20"/>
    </w:rPr>
  </w:style>
  <w:style w:type="character" w:styleId="Style18">
    <w:name w:val="Символ концевой сноски"/>
    <w:uiPriority w:val="99"/>
    <w:semiHidden/>
    <w:unhideWhenUsed/>
    <w:qFormat/>
    <w:rsid w:val="00586f9c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b52e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15f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d5167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d5167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371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EndnoteText">
    <w:name w:val="Endnote Text"/>
    <w:basedOn w:val="Normal"/>
    <w:link w:val="Style17"/>
    <w:uiPriority w:val="99"/>
    <w:semiHidden/>
    <w:unhideWhenUsed/>
    <w:rsid w:val="00586f9c"/>
    <w:pPr>
      <w:spacing w:lineRule="auto" w:line="240" w:before="0" w:after="0"/>
    </w:pPr>
    <w:rPr>
      <w:sz w:val="20"/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400" spc="-1" strike="noStrike">
                <a:solidFill>
                  <a:srgbClr val="808080"/>
                </a:solidFill>
                <a:latin typeface="Times New Roman"/>
              </a:defRPr>
            </a:pPr>
            <a:r>
              <a:rPr b="1" lang="ru-RU" sz="1400" spc="-1" strike="noStrike">
                <a:solidFill>
                  <a:srgbClr val="808080"/>
                </a:solidFill>
                <a:latin typeface="Times New Roman"/>
              </a:rPr>
              <a:t>Возбуждение адм.дел по информации МО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5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0"/>
          <c:dPt>
            <c:idx val="0"/>
            <c:spPr>
              <a:gradFill>
                <a:gsLst>
                  <a:gs pos="0">
                    <a:srgbClr val="4f81bd"/>
                  </a:gs>
                  <a:gs pos="100000">
                    <a:srgbClr val="95b3d7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gradFill>
                <a:gsLst>
                  <a:gs pos="0">
                    <a:srgbClr val="c0504d"/>
                  </a:gs>
                  <a:gs pos="100000">
                    <a:srgbClr val="d99694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gradFill>
                <a:gsLst>
                  <a:gs pos="0">
                    <a:srgbClr val="9bbb59"/>
                  </a:gs>
                  <a:gs pos="100000">
                    <a:srgbClr val="c3d69b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gradFill>
                <a:gsLst>
                  <a:gs pos="0">
                    <a:srgbClr val="8064a2"/>
                  </a:gs>
                  <a:gs pos="100000">
                    <a:srgbClr val="b3a2c7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gradFill>
                <a:gsLst>
                  <a:gs pos="0">
                    <a:srgbClr val="4bacc6"/>
                  </a:gs>
                  <a:gs pos="100000">
                    <a:srgbClr val="93cddd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gradFill>
                <a:gsLst>
                  <a:gs pos="0">
                    <a:srgbClr val="f79646"/>
                  </a:gs>
                  <a:gs pos="100000">
                    <a:srgbClr val="fac090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gradFill>
                <a:gsLst>
                  <a:gs pos="0">
                    <a:srgbClr val="2c4d75"/>
                  </a:gs>
                  <a:gs pos="100000">
                    <a:srgbClr val="6792c6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gradFill>
                <a:gsLst>
                  <a:gs pos="0">
                    <a:srgbClr val="772c2a"/>
                  </a:gs>
                  <a:gs pos="100000">
                    <a:srgbClr val="c86765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8"/>
            <c:spPr>
              <a:gradFill>
                <a:gsLst>
                  <a:gs pos="0">
                    <a:srgbClr val="5f7530"/>
                  </a:gs>
                  <a:gs pos="100000">
                    <a:srgbClr val="a7c36c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Pt>
            <c:idx val="9"/>
            <c:spPr>
              <a:gradFill>
                <a:gsLst>
                  <a:gs pos="0">
                    <a:srgbClr val="4d3b62"/>
                  </a:gs>
                  <a:gs pos="100000">
                    <a:srgbClr val="937bb0"/>
                  </a:gs>
                </a:gsLst>
                <a:lin ang="5400000"/>
              </a:gradFill>
              <a:ln w="5076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1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2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3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4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5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6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7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8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9"/>
              <c:spPr>
                <a:solidFill>
                  <a:srgbClr val="FFFFFF"/>
                </a:solidFill>
                <a:ln w="9360">
                  <a:solidFill>
                    <a:srgbClr val="BFBFBF"/>
                  </a:solidFill>
                </a:ln>
              </c:spPr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595959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eparator>
</c:separator>
            </c:dLbl>
            <c:spPr>
              <a:solidFill>
                <a:srgbClr val="FFFFFF"/>
              </a:solidFill>
              <a:ln w="9360">
                <a:solidFill>
                  <a:srgbClr val="BFBFBF"/>
                </a:solidFill>
              </a:ln>
            </c:spPr>
            <c:txPr>
              <a:bodyPr wrap="square"/>
              <a:lstStyle/>
              <a:p>
                <a:pPr>
                  <a:defRPr b="0" sz="900" spc="-1" strike="noStrike">
                    <a:solidFill>
                      <a:srgbClr val="595959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10"/>
                <c:pt idx="0">
                  <c:v>Таштагольский мр </c:v>
                </c:pt>
                <c:pt idx="1">
                  <c:v>Новокузнецкий го</c:v>
                </c:pt>
                <c:pt idx="2">
                  <c:v>Юргинский го</c:v>
                </c:pt>
                <c:pt idx="3">
                  <c:v>Кемеровский го</c:v>
                </c:pt>
                <c:pt idx="4">
                  <c:v>Новокузнецкий мо</c:v>
                </c:pt>
                <c:pt idx="5">
                  <c:v>Тайгинский го</c:v>
                </c:pt>
                <c:pt idx="6">
                  <c:v>Прокопьевский го</c:v>
                </c:pt>
                <c:pt idx="7">
                  <c:v>Яшкинский мо</c:v>
                </c:pt>
                <c:pt idx="8">
                  <c:v>Междуреченский го</c:v>
                </c:pt>
                <c:pt idx="9">
                  <c:v>Ленинск-Кузнецкий 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0.28</c:v>
                </c:pt>
                <c:pt idx="1">
                  <c:v>0.25</c:v>
                </c:pt>
                <c:pt idx="2">
                  <c:v>0.15</c:v>
                </c:pt>
                <c:pt idx="3">
                  <c:v>0.12</c:v>
                </c:pt>
                <c:pt idx="4">
                  <c:v>0.07</c:v>
                </c:pt>
                <c:pt idx="5">
                  <c:v>0.03</c:v>
                </c:pt>
                <c:pt idx="6">
                  <c:v>0.03</c:v>
                </c:pt>
                <c:pt idx="7">
                  <c:v>0.03</c:v>
                </c:pt>
                <c:pt idx="8">
                  <c:v>0.01</c:v>
                </c:pt>
                <c:pt idx="9">
                  <c:v>0.03</c:v>
                </c:pt>
              </c:numCache>
            </c:numRef>
          </c:val>
        </c:ser>
      </c:pie3DChart>
      <c:dTable>
        <c:showHorzBorder val="1"/>
        <c:showVertBorder val="1"/>
        <c:showOutline val="1"/>
        <c:showKeys val="1"/>
        <c:spPr>
          <a:noFill/>
          <a:ln w="936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</c:dTable>
    </c:plotArea>
    <c:legend>
      <c:legendPos val="r"/>
      <c:layout>
        <c:manualLayout>
          <c:xMode val="edge"/>
          <c:yMode val="edge"/>
          <c:x val="0.7110625"/>
          <c:y val="0.247"/>
          <c:w val="0.271516969810613"/>
          <c:h val="0.724747194132681"/>
        </c:manualLayout>
      </c:layout>
      <c:overlay val="0"/>
      <c:spPr>
        <a:solidFill>
          <a:srgbClr val="ffffff">
            <a:alpha val="50000"/>
          </a:srgbClr>
        </a:solidFill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zero"/>
  </c:chart>
  <c:spPr>
    <a:pattFill prst="ltDnDiag">
      <a:fgClr>
        <a:srgbClr val="ffffff"/>
      </a:fgClr>
      <a:bgClr>
        <a:srgbClr val="e6e6e6"/>
      </a:bgClr>
    </a:patt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400" spc="-1" strike="noStrike">
                <a:solidFill>
                  <a:srgbClr val="000000"/>
                </a:solidFill>
                <a:latin typeface="Cambria"/>
              </a:defRPr>
            </a:pPr>
            <a:r>
              <a:rPr b="1" lang="ru-RU" sz="1400" spc="-1" strike="noStrike">
                <a:solidFill>
                  <a:srgbClr val="000000"/>
                </a:solidFill>
                <a:latin typeface="Cambria"/>
              </a:rPr>
              <a:t>Основания возбуждения дел об административных правонарушениях</a:t>
            </a:r>
          </a:p>
        </c:rich>
      </c:tx>
      <c:layout>
        <c:manualLayout>
          <c:xMode val="edge"/>
          <c:yMode val="edge"/>
          <c:x val="0.130349043581148"/>
          <c:y val="0.0405087140838436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7875"/>
          <c:y val="0.370666666666667"/>
          <c:w val="0.251875"/>
          <c:h val="0.562888888888889"/>
        </c:manualLayout>
      </c:layout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0"/>
          <c:dPt>
            <c:idx val="0"/>
            <c:spPr>
              <a:gradFill>
                <a:gsLst>
                  <a:gs pos="0">
                    <a:srgbClr val="4f81bd"/>
                  </a:gs>
                  <a:gs pos="100000">
                    <a:srgbClr val="95b3d7"/>
                  </a:gs>
                </a:gsLst>
                <a:lin ang="5400000"/>
              </a:gra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gradFill>
                <a:gsLst>
                  <a:gs pos="0">
                    <a:srgbClr val="c0504d"/>
                  </a:gs>
                  <a:gs pos="100000">
                    <a:srgbClr val="d99694"/>
                  </a:gs>
                </a:gsLst>
                <a:lin ang="5400000"/>
              </a:gra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gradFill>
                <a:gsLst>
                  <a:gs pos="0">
                    <a:srgbClr val="9bbb59"/>
                  </a:gs>
                  <a:gs pos="100000">
                    <a:srgbClr val="c3d69b"/>
                  </a:gs>
                </a:gsLst>
                <a:lin ang="5400000"/>
              </a:gradFill>
              <a:ln w="1908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gradFill>
                <a:gsLst>
                  <a:gs pos="0">
                    <a:srgbClr val="8064a2"/>
                  </a:gs>
                  <a:gs pos="100000">
                    <a:srgbClr val="b3a2c7"/>
                  </a:gs>
                </a:gsLst>
                <a:lin ang="5400000"/>
              </a:gradFill>
              <a:ln w="1908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gradFill>
                <a:gsLst>
                  <a:gs pos="0">
                    <a:srgbClr val="4bacc6"/>
                  </a:gs>
                  <a:gs pos="100000">
                    <a:srgbClr val="93cddd"/>
                  </a:gs>
                </a:gsLst>
                <a:lin ang="5400000"/>
              </a:gradFill>
              <a:ln w="1908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1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2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3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eparator>
</c:separator>
            </c:dLbl>
            <c:dLbl>
              <c:idx val="4"/>
              <c:txPr>
                <a:bodyPr wrap="square"/>
                <a:lstStyle/>
                <a:p>
                  <a:pPr>
                    <a:defRPr b="0" sz="900" spc="-1" strike="noStrike">
                      <a:solidFill>
                        <a:srgbClr val="40404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eparator>
</c:separator>
            </c:dLbl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eparator>
</c:separator>
            <c:showLeaderLines val="1"/>
          </c:dLbls>
          <c:cat>
            <c:strRef>
              <c:f>categories</c:f>
              <c:strCache>
                <c:ptCount val="5"/>
                <c:pt idx="0">
                  <c:v>непосредственное обнаружение</c:v>
                </c:pt>
                <c:pt idx="1">
                  <c:v>постановления прокуроров</c:v>
                </c:pt>
                <c:pt idx="2">
                  <c:v>информация ОМФК</c:v>
                </c:pt>
                <c:pt idx="3">
                  <c:v>информация ОГВ</c:v>
                </c:pt>
                <c:pt idx="4">
                  <c:v>сообщения иных лиц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0.45</c:v>
                </c:pt>
                <c:pt idx="1">
                  <c:v>0.25</c:v>
                </c:pt>
                <c:pt idx="2">
                  <c:v>0.15</c:v>
                </c:pt>
                <c:pt idx="3">
                  <c:v>0.11</c:v>
                </c:pt>
                <c:pt idx="4">
                  <c:v>0.04</c:v>
                </c:pt>
              </c:numCache>
            </c:numRef>
          </c:val>
        </c:ser>
        <c:firstSliceAng val="0"/>
      </c:pieChart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5503125"/>
          <c:y val="0.401888888888889"/>
          <c:w val="0.387024189011813"/>
          <c:h val="0.437159684409379"/>
        </c:manualLayout>
      </c:layout>
      <c:overlay val="0"/>
      <c:spPr>
        <a:solidFill>
          <a:srgbClr val="ffffff">
            <a:alpha val="50000"/>
          </a:srgbClr>
        </a:solidFill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pattFill prst="ltDnDiag">
      <a:fgClr>
        <a:srgbClr val="ffffff"/>
      </a:fgClr>
      <a:bgClr>
        <a:srgbClr val="ffffff">
          <a:alpha val="0"/>
        </a:srgbClr>
      </a:bgClr>
    </a:pattFill>
    <a:ln w="9360">
      <a:solidFill>
        <a:srgbClr val="ffffff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DA0-A806-46C4-B880-05139BA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Application>LibreOffice/7.6.7.2$Linux_X86_64 LibreOffice_project/60$Build-2</Application>
  <AppVersion>15.0000</AppVersion>
  <Pages>4</Pages>
  <Words>856</Words>
  <Characters>5064</Characters>
  <CharactersWithSpaces>5818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2024-04-09T06:22:00Z</dcterms:created>
  <dc:creator>gas</dc:creator>
  <dc:description/>
  <dc:language>ru-RU</dc:language>
  <cp:lastModifiedBy/>
  <cp:lastPrinted>2025-01-17T13:34:02Z</cp:lastPrinted>
  <dcterms:modified xsi:type="dcterms:W3CDTF">2025-01-17T13:36:48Z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